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KONFERENCJA: Otwarcie Branży Beauty. Turystyka Fryzjerska. Koszty Lockdownu.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poruszamy następujące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branży Beauty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Turystyka fryzjerska</w:t>
      </w:r>
      <w:r>
        <w:rPr>
          <w:rFonts w:ascii="calibri" w:hAnsi="calibri" w:eastAsia="calibri" w:cs="calibri"/>
          <w:sz w:val="24"/>
          <w:szCs w:val="24"/>
        </w:rPr>
        <w:t xml:space="preserve">: Skala zjawiska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Kolejki</w:t>
      </w:r>
      <w:r>
        <w:rPr>
          <w:rFonts w:ascii="calibri" w:hAnsi="calibri" w:eastAsia="calibri" w:cs="calibri"/>
          <w:sz w:val="24"/>
          <w:szCs w:val="24"/>
        </w:rPr>
        <w:t xml:space="preserve"> w salonach: Maj 2020 / Maj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lockdownu</w:t>
      </w:r>
      <w:r>
        <w:rPr>
          <w:rFonts w:ascii="calibri" w:hAnsi="calibri" w:eastAsia="calibri" w:cs="calibri"/>
          <w:sz w:val="24"/>
          <w:szCs w:val="24"/>
        </w:rPr>
        <w:t xml:space="preserve"> poniesione przez Branżę Beauty.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 wsparcia</w:t>
      </w:r>
      <w:r>
        <w:rPr>
          <w:rFonts w:ascii="calibri" w:hAnsi="calibri" w:eastAsia="calibri" w:cs="calibri"/>
          <w:sz w:val="24"/>
          <w:szCs w:val="24"/>
        </w:rPr>
        <w:t xml:space="preserve"> wskutek negocjacji Beauty Razem z MRPiT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Przebieg i skala wypłat </w:t>
      </w:r>
      <w:r>
        <w:rPr>
          <w:rFonts w:ascii="calibri" w:hAnsi="calibri" w:eastAsia="calibri" w:cs="calibri"/>
          <w:sz w:val="24"/>
          <w:szCs w:val="24"/>
          <w:b/>
        </w:rPr>
        <w:t xml:space="preserve">rekompensat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Oczekiwania branży wobec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 10:00 odbyłaby się konferencja MZ, konferencja Beauty Razem będzie przesunięta na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http://meet.google.com/agw-govt-tau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potwierdzenie uczestnictwa mailem: beautyrazem@gmail.com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drugą konferencja prasową Branży Beauty</w:t>
      </w:r>
    </w:p>
    <w:p>
      <w:r>
        <w:rPr>
          <w:rFonts w:ascii="calibri" w:hAnsi="calibri" w:eastAsia="calibri" w:cs="calibri"/>
          <w:sz w:val="24"/>
          <w:szCs w:val="24"/>
        </w:rPr>
        <w:t xml:space="preserve">- 57 tysięcznej społecznej inicjatywy wsparcia Beauty Razem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wystąpią dla Państwa: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Łenczyński,</w:t>
      </w:r>
      <w:r>
        <w:rPr>
          <w:rFonts w:ascii="calibri" w:hAnsi="calibri" w:eastAsia="calibri" w:cs="calibri"/>
          <w:sz w:val="24"/>
          <w:szCs w:val="24"/>
        </w:rPr>
        <w:t xml:space="preserve"> reprezentant branży, założyciel Beauty Razem, uczestnik spotkań z MRPiT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Aniszewska,</w:t>
      </w:r>
      <w:r>
        <w:rPr>
          <w:rFonts w:ascii="calibri" w:hAnsi="calibri" w:eastAsia="calibri" w:cs="calibri"/>
          <w:sz w:val="24"/>
          <w:szCs w:val="24"/>
        </w:rPr>
        <w:t xml:space="preserve"> uczestnik spotkań z MRPiT, prezes biura Beauty Tax, ekspert finansów branży i "Tarcz"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do mediów będzie można nagrać "na żywo" bezpośrednio po konferencji.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Czas nagrań: środa 28.04.2021, godz. 12:00-24:00 (bezpośrednio po konferencji online)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nagrań: Kraków, Rynek Dębnicki 4/8.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 Państwu bezpieczeństwo, środki dezynfekcyjne do rąk oraz brak kontaktu z innymi uczestnikami, a także niezależne sale, w których możecie Państwo uniknąć bliskości osobistej pomiędzy sobą. Prosimy o przyjście z własną maseczką.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wypowiedzi telefonicznych bezpośrednio po konferencji, aż do godz. 24:00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https://calendly.com/michallenczynski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czas prosimy o podanie kontaktu telefonicznego i nazwy redakcji.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z reprezentantem branży Michałem Łenczyńskim: 502-560-734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et.google.com/agw-govt-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2025-12-07T01:32:05+01:00</dcterms:created>
  <dcterms:modified xsi:type="dcterms:W3CDTF">2025-12-07T01:32:05+01:00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